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 vom 23. September 1980</w:t>
      </w:r>
    </w:p>
    <w:p>
      <w:r>
        <w:t>Bundesgericht (BGE), 1980-09-23, DE</w:t>
      </w:r>
    </w:p>
    <w:p>
      <w:r>
        <w:rPr>
          <w:b/>
        </w:rPr>
        <w:t xml:space="preserve">Quelle: </w:t>
      </w:r>
      <w:r>
        <w:t>https://mcp.opencaselaw.ch/entscheid/bge_107 IA 3</w:t>
      </w:r>
    </w:p>
    <w:p>
      <w:r>
        <w:t>FR: BGE 107 IA 3 du 23 septembre 1980</w:t>
      </w:r>
    </w:p>
    <w:p>
      <w:r>
        <w:t>IT: BGE 107 IA 3 del 23 settembre 1980</w:t>
      </w:r>
    </w:p>
    <w:p>
      <w:pPr>
        <w:pStyle w:val="Heading2"/>
      </w:pPr>
      <w:r>
        <w:t>Regeste</w:t>
      </w:r>
    </w:p>
    <w:p>
      <w:r>
        <w:t>Regeste 1. Verfahren. Die Einreichung einer Nichtigkeitsbeschwerde oder staatsrechtlichen Beschwerde gegen ein Strafurteil hat nicht zur Folge, dass die Zuständigkeit insbesondere zur Anordnung einer Verhaftung oder Haftentlassung den kantonalen Behörden entzogen und auf das Bundesgericht übertragen wird (Erw. 2). 2. Begründung einer Haftverfügung. Der Hinweis auf die Fluchtgefahr wegen einer bevorstehenden langjährigen Zuchthausstrafe genügt als Begründung einer Haftverlängerung, wenn es sich nicht um die abstrakte gesetzliche Strafdrohung handelt, sondern um eine bereits konkret ausgefällte Strafe und nicht andere Umstände die Flucht unwahrscheinlich machen (Erw. 5).</w:t>
      </w:r>
    </w:p>
    <w:p>
      <w:pPr>
        <w:pStyle w:val="Heading2"/>
      </w:pPr>
      <w:r>
        <w:t>Erwägungen</w:t>
      </w:r>
    </w:p>
    <w:p>
      <w:r>
        <w:rPr>
          <w:b/>
        </w:rPr>
        <w:t>E. 2</w:t>
      </w:r>
    </w:p>
    <w:p>
      <w:r>
        <w:t>Die Einreichung einer Nichtigkeitsbeschwerde oder einer staatsrechtlichen Beschwerde gegen ein Strafurteil hat nicht zur Folge, dass die Zuständigkeit zur "Verfügung" über den Verurteilten, insbesondere zur Anordnung einer Verhaftung oder Haftentlassung automatisch den kantonalen Behörden entzogen und auf das Bundesgericht übertragen wird. Eine solche verfahrensrechtliche Auswirkung dieser kassatorischen Rechtsmittel ist nirgends vorgesehen. Im Gegenteil ergibt sich aus dem Gesetz, dass die Zuständigkeit des Urteilskantons an sich in vollem Umfange bestehen bleibt und dass dieser sogar zum Vollzug des angefochtenen Urteils schreiten kann, sofern nicht vom zuständigen Abteilungspräsidenten (oder von der zuständigen Abteilung) des Bundesgerichtes eine ausdrückliche Anordnung (Erteilung der aufschiebenden Wirkung) getroffen wird (Art. 272 letzter Abs. BStP, Art. 94 OG , vgl. Rüegsegger, Die eidgenössische Nichtigkeitsbeschwerde gegen kantonale Entscheide in Strafsachen eidgenössischen Rechts, Diss. Zürich 1946, S. 30 ff.). Im vorliegenden Fall hat der Präsident des Kassationshofes im Sinne von Art. 272 letzter Abs. BStP am 23. September 1980 verfügt, dass der eigentliche Strafvollzug formell nicht schon während der Hängigkeit des Rechtsmittels vor Bundesgericht beginnen soll. Mit dieser Verfügung sollte nicht eine Aufrechterhaltung der Haft untersagt und den kantonalen Behörden die sofortige Freilassung des Beschwerdeführers vorgeschrieben werden. Die Aufrechterhaltung der Haft als Sicherheitshaft war damit keineswegs ausgeschlossen, sondern blieb den kantonalen Behörden sinngemäss vorbehalten. Von einer Haftentlassung ist dementsprechend in der Verfügung des Präsidenten des Kassationshofes nicht die Rede. Der angefochtene kantonale Hoheitsakt steht nicht in Widerspruch zu dieser nur den formellen Strafvollzung betreffenden Verfügung oder zu einer bundesrechtlichen Vorschrift über die Zuständigkeit. Die Aufrechterhaltung des bestehenden Zustandes - d.h. prozessualer BGE 107 Ia 3 S. 6 Freiheitsentzug, Untersuchungs- oder Sicherheitshaft - bis zur Beurteilung der Beschwerde entsprach dem Sinn der Präsidialverfügung.</w:t>
      </w:r>
    </w:p>
    <w:p>
      <w:r>
        <w:rPr>
          <w:b/>
        </w:rPr>
        <w:t>E. 5</w:t>
      </w:r>
    </w:p>
    <w:p>
      <w:r>
        <w:t>In der Beschwerdeschrift finden sich dagegen Ausführungen darüber, dass der angefochtenen Verfügung eine ausreichende Begründung fehle. Die Begründung beschränkt sich auf den kurzen Hinweis, Fluchtgefahr sei schon deswegen anzunehmen, weil dem Verurteilten eine langjährige Zuchthausstrafe bevorstehe. In neuern Entscheiden hat das Bundesgericht hervorgehoben, dass die in jedem Strafverfahren vorhandene abstrakte Möglichkeit einer Flucht für die Verhaftung nicht genügt, sondern dass Gründe vorliegen müssen, die eine Flucht nicht nur als objektiv möglich, sondern als wahrscheinlich erscheinen lassen ( BGE 95 I 205 und 241). Diese Entwicklung der Rechtsprechung wird durch die Praxis des Europäischen Gerichtshofs für Menschenrechte bestätigt und verstärkt (vgl. BGE 102 Ia 381 /382). Auch unter Berücksichtigung dieser strengeren Anforderungen an den Haftgrund der Fluchtgefahr erscheint im vorliegenden Fall die erhobene Rüge als unbegründet. Es geht hier nicht - wie in den Fällen der Haft vor der Verurteilung - um das Abschätzen, welche Fluchtmotivation abstrakte gesetzliche Strafdrohungen beim Täter auslösen, sondern der Beschwerdeführer kennt das Urteil der beiden mit voller Kognition ausgestatteten kantonalen Instanzen. Es droht ihm die bereits konkret ausgefällte Strafe von 18 Jahren Zuchthaus, die eigentlich nur aufgehoben oder wesentlich reduziert werden könnte, wenn das Bundesgericht die entscheidende Beweiswürdigung als verfassungswidrig ( Art. 4 BV ) aufheben würde. Für einen 31jährigen Mann, der unverheiratet ist und durch keine speziellen Bande zurückgehalten wird, dürfte in dieser Situation die Versuchung, sich der drohenden, langen Zuchthausstrafe durch Flucht zu entziehen, übermässig gross sein. Der Beschwerdeführer hat sich auch keineswegs etwa mit einem längern Freiheitsentzug abgefunden, sondern durch Widerruf seiner Geständnisse den Kampf um den Freispruch mit allem Nachdruck aufgenommen. Dass die Vorinstanz unter den gegebenen Umständen eine erhebliche Fluchtgefahr annahm, verstösst weder gegen die Garantie der persönlichen Freiheit, noch gegen Art. 5 und 6 EMRK . Zwar hat der Beschwerdeführer nicht durch sein bisheriges Verhalten gezeigt, BGE 107 Ia 3 S. 7 dass er an Flucht denkt, aber die objektiven Umstände sind nach der Verurteilung durch die kantonalen Gerichte so, dass die Wahrscheinlichkeit einer Flucht in die Augen springt. Anderseits sind gegenläufige Motive, welche A. trotz der drohenden Zuchthausstrafe zum Verbleiben in der Schweiz veranlassen könnten, nicht erkennbar. Die knappe Begründung hält daher der verfassungsrechtlichen Überprüfung stand. Dabei ist auch zu berücksichtigen, dass bereits vor der Verurteilung in einer Verfügung des Kantonsgerichtspräsidenten vom 13. Oktober 1978 einlässlich zur Frage der Fluchtgefahr Stellung genommen wurde. (In jener Begründung werden auch Äusserungen über Fluchtpläne erwähnt, S. 29 f.). Die Situation hat sich seither nicht grundlegend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